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TOB INJ “Combined” Communities” :30s Radio - APPROVED</w:t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color w:val="1d1c1d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It’s not just the fact that menthol-flavored tobacco is aggressively marketed in Black communities.</w:t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i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color w:val="434343"/>
          <w:sz w:val="21"/>
          <w:szCs w:val="21"/>
          <w:rtl w:val="0"/>
        </w:rPr>
        <w:t xml:space="preserve">It’s not just that it recruits kids by being easier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Or that it’s been a part of Big Tobacco’s presence at pride parades and events for decades.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The biggest problem with using menthol flavors to sell tobacco...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Is that it works.</w:t>
      </w:r>
    </w:p>
    <w:p w:rsidR="00000000" w:rsidDel="00000000" w:rsidP="00000000" w:rsidRDefault="00000000" w:rsidRPr="00000000" w14:paraId="0000000C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Menthol tobacco products are a manipulative way to attract, addict, and ultimately, kill people.</w:t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i w:val="1"/>
          <w:color w:val="1d1c1d"/>
          <w:rtl w:val="0"/>
        </w:rPr>
        <w:t xml:space="preserve">And there’s nothing just about it.</w:t>
      </w:r>
    </w:p>
    <w:p w:rsidR="00000000" w:rsidDel="00000000" w:rsidP="00000000" w:rsidRDefault="00000000" w:rsidRPr="00000000" w14:paraId="00000010">
      <w:pPr>
        <w:spacing w:line="240" w:lineRule="auto"/>
        <w:rPr>
          <w:i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i w:val="1"/>
          <w:color w:val="1d1c1d"/>
          <w:rtl w:val="0"/>
        </w:rPr>
        <w:t xml:space="preserve">Take action now at NotJustMenthol.org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ipOWCITeJDODF4seZ0zpb8b+Q==">CgMxLjAyCGguZ2pkZ3hzOAByITFkdXk0MVltclZoc1UtTkpDSzBGNXRCb0lSaEh1SU9hTQ==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2023-08-18T18:18:00Z</dcterms:created>
  <dc:creator>Olivia Rickenbacher</dc:creator>
</cp:coreProperties>
</file>